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A51EC4">
        <w:rPr>
          <w:b w:val="0"/>
          <w:szCs w:val="24"/>
        </w:rPr>
        <w:t>_</w:t>
      </w:r>
      <w:r w:rsidR="00BA4FB2">
        <w:rPr>
          <w:b w:val="0"/>
          <w:szCs w:val="24"/>
        </w:rPr>
        <w:t>03</w:t>
      </w:r>
      <w:r w:rsidR="00A51EC4">
        <w:rPr>
          <w:b w:val="0"/>
          <w:szCs w:val="24"/>
        </w:rPr>
        <w:t>_</w:t>
      </w:r>
      <w:r w:rsidR="002717E1">
        <w:rPr>
          <w:b w:val="0"/>
          <w:szCs w:val="24"/>
        </w:rPr>
        <w:t>_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733E53">
        <w:rPr>
          <w:b w:val="0"/>
          <w:szCs w:val="24"/>
        </w:rPr>
        <w:t>0</w:t>
      </w:r>
      <w:r w:rsidR="00BA4FB2">
        <w:rPr>
          <w:b w:val="0"/>
          <w:szCs w:val="24"/>
        </w:rPr>
        <w:t>4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2717E1">
        <w:rPr>
          <w:b w:val="0"/>
          <w:szCs w:val="24"/>
        </w:rPr>
        <w:t>_</w:t>
      </w:r>
      <w:r w:rsidR="00BA4FB2">
        <w:rPr>
          <w:b w:val="0"/>
          <w:szCs w:val="24"/>
        </w:rPr>
        <w:t>224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780902" w:rsidRPr="004B7AA5" w:rsidRDefault="00780902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</w:t>
      </w:r>
      <w:r w:rsidR="00BA4FB2">
        <w:rPr>
          <w:rFonts w:ascii="Times New Roman" w:hAnsi="Times New Roman" w:cs="Times New Roman"/>
          <w:sz w:val="20"/>
        </w:rPr>
        <w:t>строение</w:t>
      </w:r>
      <w:r w:rsidRPr="00CB3D4A">
        <w:rPr>
          <w:rFonts w:ascii="Times New Roman" w:hAnsi="Times New Roman" w:cs="Times New Roman"/>
          <w:sz w:val="20"/>
        </w:rPr>
        <w:t xml:space="preserve">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BA4FB2">
        <w:rPr>
          <w:rFonts w:ascii="Times New Roman" w:hAnsi="Times New Roman" w:cs="Times New Roman"/>
          <w:sz w:val="20"/>
        </w:rPr>
        <w:t>пер. Трудолюбия</w:t>
      </w:r>
      <w:r w:rsidRPr="001D6584">
        <w:rPr>
          <w:rFonts w:ascii="Times New Roman" w:hAnsi="Times New Roman" w:cs="Times New Roman"/>
          <w:sz w:val="20"/>
        </w:rPr>
        <w:t xml:space="preserve">, </w:t>
      </w:r>
      <w:r w:rsidR="00BA4FB2">
        <w:rPr>
          <w:rFonts w:ascii="Times New Roman" w:hAnsi="Times New Roman" w:cs="Times New Roman"/>
          <w:sz w:val="20"/>
        </w:rPr>
        <w:t xml:space="preserve">около </w:t>
      </w:r>
      <w:r w:rsidRPr="001D6584">
        <w:rPr>
          <w:rFonts w:ascii="Times New Roman" w:hAnsi="Times New Roman" w:cs="Times New Roman"/>
          <w:sz w:val="20"/>
        </w:rPr>
        <w:t>д</w:t>
      </w:r>
      <w:r w:rsidR="00BA4FB2">
        <w:rPr>
          <w:rFonts w:ascii="Times New Roman" w:hAnsi="Times New Roman" w:cs="Times New Roman"/>
          <w:sz w:val="20"/>
        </w:rPr>
        <w:t>.</w:t>
      </w:r>
      <w:r w:rsidRPr="001D6584">
        <w:rPr>
          <w:rFonts w:ascii="Times New Roman" w:hAnsi="Times New Roman" w:cs="Times New Roman"/>
          <w:sz w:val="20"/>
        </w:rPr>
        <w:t xml:space="preserve"> </w:t>
      </w:r>
      <w:r w:rsidR="00BA4FB2">
        <w:rPr>
          <w:rFonts w:ascii="Times New Roman" w:hAnsi="Times New Roman" w:cs="Times New Roman"/>
          <w:sz w:val="20"/>
        </w:rPr>
        <w:t>32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</w:t>
      </w:r>
      <w:r w:rsidR="00BA4FB2">
        <w:rPr>
          <w:rFonts w:ascii="Times New Roman" w:hAnsi="Times New Roman" w:cs="Times New Roman"/>
        </w:rPr>
        <w:t>Строение</w:t>
      </w:r>
      <w:r w:rsidRPr="00CB3D4A">
        <w:rPr>
          <w:rFonts w:ascii="Times New Roman" w:hAnsi="Times New Roman" w:cs="Times New Roman"/>
        </w:rPr>
        <w:t xml:space="preserve">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 xml:space="preserve">1.3. Характеристика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r w:rsidR="00BA4FB2">
        <w:rPr>
          <w:rFonts w:ascii="Times New Roman" w:hAnsi="Times New Roman" w:cs="Times New Roman"/>
        </w:rPr>
        <w:t>строения</w:t>
      </w:r>
      <w:r w:rsidRPr="00CB3D4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BA4F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</w:t>
      </w:r>
      <w:r w:rsidR="00BA4FB2">
        <w:rPr>
          <w:rFonts w:ascii="Times New Roman" w:hAnsi="Times New Roman" w:cs="Times New Roman"/>
        </w:rPr>
        <w:t>а</w:t>
      </w:r>
      <w:r w:rsidRPr="00CB3D4A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</w:t>
      </w:r>
      <w:r w:rsidR="00BA4FB2">
        <w:rPr>
          <w:rFonts w:ascii="Times New Roman" w:hAnsi="Times New Roman" w:cs="Times New Roman"/>
        </w:rPr>
        <w:t>строения</w:t>
      </w:r>
      <w:r w:rsidRPr="00CB3D4A">
        <w:rPr>
          <w:rFonts w:ascii="Times New Roman" w:hAnsi="Times New Roman" w:cs="Times New Roman"/>
        </w:rPr>
        <w:t xml:space="preserve">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BA4FB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00</w:t>
      </w:r>
      <w:r w:rsidR="00BA4FB2">
        <w:rPr>
          <w:rFonts w:ascii="Times New Roman" w:hAnsi="Times New Roman" w:cs="Times New Roman"/>
        </w:rPr>
        <w:t>014</w:t>
      </w:r>
      <w:r>
        <w:rPr>
          <w:rFonts w:ascii="Times New Roman" w:hAnsi="Times New Roman" w:cs="Times New Roman"/>
        </w:rPr>
        <w:t>:</w:t>
      </w:r>
      <w:r w:rsidR="00BA4FB2">
        <w:rPr>
          <w:rFonts w:ascii="Times New Roman" w:hAnsi="Times New Roman" w:cs="Times New Roman"/>
        </w:rPr>
        <w:t>76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8,</w:t>
      </w:r>
      <w:r w:rsidR="00BA4FB2">
        <w:rPr>
          <w:rFonts w:ascii="Times New Roman" w:hAnsi="Times New Roman" w:cs="Times New Roman"/>
        </w:rPr>
        <w:t>0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BA4FB2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="00BA4FB2">
        <w:rPr>
          <w:rFonts w:ascii="Times New Roman" w:hAnsi="Times New Roman" w:cs="Times New Roman"/>
        </w:rPr>
        <w:t>_________________________________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Реквизиты для перечисления арендной платы в новом календарном году уточняются Арендатором у </w:t>
      </w:r>
      <w:r w:rsidRPr="00CB3D4A">
        <w:rPr>
          <w:rFonts w:ascii="Times New Roman" w:hAnsi="Times New Roman" w:cs="Times New Roman"/>
          <w:sz w:val="20"/>
        </w:rPr>
        <w:lastRenderedPageBreak/>
        <w:t>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3.1.3. Не отвечать за недостатки сданного в аренду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3.1.5. Контролировать техническое состояние, правильность эксплуатации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3.2.2. Производить улучшения арендованного </w:t>
      </w:r>
      <w:r w:rsidR="00BA4FB2" w:rsidRPr="00BA4FB2">
        <w:rPr>
          <w:rFonts w:ascii="Times New Roman" w:hAnsi="Times New Roman" w:cs="Times New Roman"/>
          <w:sz w:val="20"/>
        </w:rPr>
        <w:t xml:space="preserve">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. При этом Арендатор самостоятельно определяет интерьер и внутреннюю отделку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и (или) перепланировка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3.2.3. Передавать арендованное </w:t>
      </w:r>
      <w:r w:rsidR="00BA4FB2">
        <w:rPr>
          <w:rFonts w:ascii="Times New Roman" w:hAnsi="Times New Roman" w:cs="Times New Roman"/>
          <w:sz w:val="20"/>
        </w:rPr>
        <w:t>строение</w:t>
      </w:r>
      <w:r w:rsidRPr="00CB3D4A">
        <w:rPr>
          <w:rFonts w:ascii="Times New Roman" w:hAnsi="Times New Roman" w:cs="Times New Roman"/>
          <w:sz w:val="20"/>
        </w:rPr>
        <w:t xml:space="preserve">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</w:t>
      </w:r>
      <w:r w:rsidRPr="00CB3D4A">
        <w:rPr>
          <w:rFonts w:ascii="Times New Roman" w:hAnsi="Times New Roman" w:cs="Times New Roman"/>
          <w:sz w:val="20"/>
        </w:rPr>
        <w:lastRenderedPageBreak/>
        <w:t xml:space="preserve">Отказ Арендатора от договора не освобождает его от обязанности по уплате арендной платы до момента возврата арендуемого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4.1.1. Передать Арендатору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r w:rsidR="00BA4FB2">
        <w:rPr>
          <w:rFonts w:ascii="Times New Roman" w:hAnsi="Times New Roman" w:cs="Times New Roman"/>
          <w:sz w:val="20"/>
        </w:rPr>
        <w:t>строение</w:t>
      </w:r>
      <w:r w:rsidRPr="00CB3D4A">
        <w:rPr>
          <w:rFonts w:ascii="Times New Roman" w:hAnsi="Times New Roman" w:cs="Times New Roman"/>
          <w:sz w:val="20"/>
        </w:rPr>
        <w:t xml:space="preserve">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Арендатор обязан представить по требованию Арендодателя надлежащие доказательства использования </w:t>
      </w:r>
      <w:r w:rsidR="00BA4FB2" w:rsidRPr="00BA4FB2">
        <w:rPr>
          <w:rFonts w:ascii="Times New Roman" w:hAnsi="Times New Roman" w:cs="Times New Roman"/>
          <w:sz w:val="20"/>
        </w:rPr>
        <w:t xml:space="preserve">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4.2.4. С письменного разрешения Арендодателя производить за свой счет капитальный ремонт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и (или) переоборудование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4.2.5. Осуществлять перепланировку </w:t>
      </w:r>
      <w:r w:rsidR="00BA4FB2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,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r w:rsidR="00562C3E">
        <w:rPr>
          <w:rFonts w:ascii="Times New Roman" w:hAnsi="Times New Roman" w:cs="Times New Roman"/>
          <w:sz w:val="20"/>
        </w:rPr>
        <w:t>строение</w:t>
      </w:r>
      <w:r w:rsidRPr="00CB3D4A">
        <w:rPr>
          <w:rFonts w:ascii="Times New Roman" w:hAnsi="Times New Roman" w:cs="Times New Roman"/>
          <w:sz w:val="20"/>
        </w:rPr>
        <w:t xml:space="preserve">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Освободить </w:t>
      </w:r>
      <w:r w:rsidR="00562C3E">
        <w:rPr>
          <w:rFonts w:ascii="Times New Roman" w:hAnsi="Times New Roman" w:cs="Times New Roman"/>
          <w:sz w:val="20"/>
        </w:rPr>
        <w:t>строение</w:t>
      </w:r>
      <w:r w:rsidRPr="00CB3D4A">
        <w:rPr>
          <w:rFonts w:ascii="Times New Roman" w:hAnsi="Times New Roman" w:cs="Times New Roman"/>
          <w:sz w:val="20"/>
        </w:rPr>
        <w:t xml:space="preserve">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r w:rsidR="00562C3E">
        <w:rPr>
          <w:rFonts w:ascii="Times New Roman" w:hAnsi="Times New Roman" w:cs="Times New Roman"/>
          <w:sz w:val="20"/>
        </w:rPr>
        <w:t>строения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</w:t>
      </w:r>
      <w:r w:rsidR="00562C3E">
        <w:rPr>
          <w:rFonts w:ascii="Times New Roman" w:hAnsi="Times New Roman" w:cs="Times New Roman"/>
          <w:sz w:val="20"/>
        </w:rPr>
        <w:t>строение</w:t>
      </w:r>
      <w:r w:rsidR="00562C3E" w:rsidRPr="00CB3D4A"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(уклоняется от подписания передаточного акта), или возвращает его несвоевременно, или не освобождает </w:t>
      </w:r>
      <w:r w:rsidR="00562C3E">
        <w:rPr>
          <w:rFonts w:ascii="Times New Roman" w:hAnsi="Times New Roman" w:cs="Times New Roman"/>
          <w:sz w:val="20"/>
        </w:rPr>
        <w:t>строение</w:t>
      </w:r>
      <w:r w:rsidRPr="00CB3D4A">
        <w:rPr>
          <w:rFonts w:ascii="Times New Roman" w:hAnsi="Times New Roman" w:cs="Times New Roman"/>
          <w:sz w:val="20"/>
        </w:rPr>
        <w:t xml:space="preserve">  в установленные сроки, Арендодатель вправе потребовать, помимо внесения Арендатором арендной платы за весь период фактического использования </w:t>
      </w:r>
      <w:r w:rsidR="00562C3E">
        <w:rPr>
          <w:rFonts w:ascii="Times New Roman" w:hAnsi="Times New Roman" w:cs="Times New Roman"/>
          <w:sz w:val="20"/>
        </w:rPr>
        <w:t>строения</w:t>
      </w:r>
      <w:r w:rsidR="00562C3E" w:rsidRPr="00CB3D4A"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r w:rsidR="00562C3E">
        <w:rPr>
          <w:rFonts w:ascii="Times New Roman" w:hAnsi="Times New Roman" w:cs="Times New Roman"/>
          <w:sz w:val="20"/>
        </w:rPr>
        <w:t>строения</w:t>
      </w:r>
      <w:r w:rsidR="00562C3E" w:rsidRPr="00CB3D4A"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Арендодатель оставляет за собой право произвести самостоятельное вскрытие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. Для производства вскрытия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В случае наличия во вскрытом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 xml:space="preserve"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8.1. Сдача </w:t>
      </w:r>
      <w:r w:rsidR="00562C3E">
        <w:rPr>
          <w:rFonts w:ascii="Times New Roman" w:hAnsi="Times New Roman" w:cs="Times New Roman"/>
          <w:sz w:val="20"/>
        </w:rPr>
        <w:t>строений</w:t>
      </w:r>
      <w:r w:rsidRPr="00CB3D4A">
        <w:rPr>
          <w:rFonts w:ascii="Times New Roman" w:hAnsi="Times New Roman" w:cs="Times New Roman"/>
          <w:sz w:val="20"/>
        </w:rPr>
        <w:t xml:space="preserve">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,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A27F94">
        <w:tc>
          <w:tcPr>
            <w:tcW w:w="4460" w:type="dxa"/>
          </w:tcPr>
          <w:p w:rsidR="008D2DE6" w:rsidRPr="00CB3D4A" w:rsidRDefault="008D2DE6" w:rsidP="00A27F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562C3E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8D2DE6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8D2DE6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A27F9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562C3E" w:rsidRDefault="00562C3E" w:rsidP="008D2DE6">
      <w:pPr>
        <w:jc w:val="both"/>
        <w:rPr>
          <w:sz w:val="20"/>
          <w:szCs w:val="20"/>
        </w:rPr>
      </w:pPr>
    </w:p>
    <w:p w:rsidR="00562C3E" w:rsidRDefault="00562C3E" w:rsidP="008D2DE6">
      <w:pPr>
        <w:jc w:val="both"/>
        <w:rPr>
          <w:sz w:val="20"/>
          <w:szCs w:val="20"/>
        </w:rPr>
      </w:pPr>
    </w:p>
    <w:p w:rsidR="00562C3E" w:rsidRDefault="00562C3E" w:rsidP="008D2DE6">
      <w:pPr>
        <w:jc w:val="both"/>
        <w:rPr>
          <w:sz w:val="20"/>
          <w:szCs w:val="20"/>
        </w:rPr>
      </w:pPr>
    </w:p>
    <w:p w:rsidR="00562C3E" w:rsidRDefault="00562C3E" w:rsidP="008D2DE6">
      <w:pPr>
        <w:jc w:val="both"/>
        <w:rPr>
          <w:sz w:val="20"/>
          <w:szCs w:val="20"/>
        </w:rPr>
      </w:pPr>
    </w:p>
    <w:p w:rsidR="00562C3E" w:rsidRDefault="00562C3E" w:rsidP="008D2DE6">
      <w:pPr>
        <w:jc w:val="both"/>
        <w:rPr>
          <w:sz w:val="20"/>
          <w:szCs w:val="20"/>
        </w:rPr>
      </w:pPr>
    </w:p>
    <w:p w:rsidR="00562C3E" w:rsidRDefault="00562C3E" w:rsidP="008D2DE6">
      <w:pPr>
        <w:jc w:val="both"/>
        <w:rPr>
          <w:sz w:val="20"/>
          <w:szCs w:val="20"/>
        </w:rPr>
      </w:pPr>
    </w:p>
    <w:p w:rsidR="00562C3E" w:rsidRDefault="00562C3E" w:rsidP="008D2DE6">
      <w:pPr>
        <w:jc w:val="both"/>
        <w:rPr>
          <w:sz w:val="20"/>
          <w:szCs w:val="20"/>
        </w:rPr>
      </w:pPr>
    </w:p>
    <w:p w:rsidR="00562C3E" w:rsidRDefault="00562C3E" w:rsidP="008D2DE6">
      <w:pPr>
        <w:jc w:val="both"/>
        <w:rPr>
          <w:sz w:val="20"/>
          <w:szCs w:val="20"/>
        </w:rPr>
      </w:pPr>
    </w:p>
    <w:p w:rsidR="00562C3E" w:rsidRDefault="00562C3E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</w:t>
      </w:r>
      <w:r w:rsidR="00562C3E">
        <w:rPr>
          <w:rFonts w:ascii="Times New Roman" w:hAnsi="Times New Roman" w:cs="Times New Roman"/>
          <w:sz w:val="20"/>
        </w:rPr>
        <w:t>строение</w:t>
      </w:r>
      <w:r w:rsidRPr="00CB3D4A">
        <w:rPr>
          <w:rFonts w:ascii="Times New Roman" w:hAnsi="Times New Roman" w:cs="Times New Roman"/>
          <w:sz w:val="20"/>
        </w:rPr>
        <w:t xml:space="preserve">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562C3E">
        <w:rPr>
          <w:rFonts w:ascii="Times New Roman" w:hAnsi="Times New Roman" w:cs="Times New Roman"/>
          <w:sz w:val="20"/>
        </w:rPr>
        <w:t>пер. Трудолюбия</w:t>
      </w:r>
      <w:r w:rsidRPr="001D6584">
        <w:rPr>
          <w:rFonts w:ascii="Times New Roman" w:hAnsi="Times New Roman" w:cs="Times New Roman"/>
          <w:sz w:val="20"/>
        </w:rPr>
        <w:t xml:space="preserve">, </w:t>
      </w:r>
      <w:r w:rsidR="00562C3E">
        <w:rPr>
          <w:rFonts w:ascii="Times New Roman" w:hAnsi="Times New Roman" w:cs="Times New Roman"/>
          <w:sz w:val="20"/>
        </w:rPr>
        <w:t xml:space="preserve">около </w:t>
      </w:r>
      <w:r w:rsidRPr="001D6584">
        <w:rPr>
          <w:rFonts w:ascii="Times New Roman" w:hAnsi="Times New Roman" w:cs="Times New Roman"/>
          <w:sz w:val="20"/>
        </w:rPr>
        <w:t xml:space="preserve"> </w:t>
      </w:r>
      <w:r w:rsidR="00562C3E">
        <w:rPr>
          <w:rFonts w:ascii="Times New Roman" w:hAnsi="Times New Roman" w:cs="Times New Roman"/>
          <w:sz w:val="20"/>
        </w:rPr>
        <w:t>д. 32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, 1 этаж, к. 2, 3.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</w:t>
      </w:r>
      <w:r w:rsidR="00562C3E">
        <w:rPr>
          <w:rFonts w:ascii="Times New Roman" w:hAnsi="Times New Roman" w:cs="Times New Roman"/>
          <w:sz w:val="20"/>
        </w:rPr>
        <w:t>строения</w:t>
      </w:r>
      <w:r w:rsidRPr="00CB3D4A">
        <w:rPr>
          <w:rFonts w:ascii="Times New Roman" w:hAnsi="Times New Roman" w:cs="Times New Roman"/>
          <w:sz w:val="20"/>
        </w:rPr>
        <w:t xml:space="preserve">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562C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00</w:t>
      </w:r>
      <w:r w:rsidR="00562C3E">
        <w:rPr>
          <w:rFonts w:ascii="Times New Roman" w:hAnsi="Times New Roman" w:cs="Times New Roman"/>
        </w:rPr>
        <w:t>014</w:t>
      </w:r>
      <w:r>
        <w:rPr>
          <w:rFonts w:ascii="Times New Roman" w:hAnsi="Times New Roman" w:cs="Times New Roman"/>
        </w:rPr>
        <w:t>:</w:t>
      </w:r>
      <w:r w:rsidR="00562C3E">
        <w:rPr>
          <w:rFonts w:ascii="Times New Roman" w:hAnsi="Times New Roman" w:cs="Times New Roman"/>
        </w:rPr>
        <w:t>76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8,</w:t>
      </w:r>
      <w:r w:rsidR="00562C3E">
        <w:rPr>
          <w:rFonts w:ascii="Times New Roman" w:hAnsi="Times New Roman" w:cs="Times New Roman"/>
          <w:sz w:val="20"/>
        </w:rPr>
        <w:t>0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562C3E">
        <w:rPr>
          <w:rFonts w:ascii="Times New Roman" w:hAnsi="Times New Roman" w:cs="Times New Roman"/>
          <w:sz w:val="20"/>
        </w:rPr>
        <w:t>________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Указанн</w:t>
      </w:r>
      <w:r w:rsidR="00562C3E">
        <w:rPr>
          <w:rFonts w:ascii="Times New Roman" w:hAnsi="Times New Roman" w:cs="Times New Roman"/>
          <w:sz w:val="20"/>
        </w:rPr>
        <w:t>ое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562C3E">
        <w:rPr>
          <w:rFonts w:ascii="Times New Roman" w:hAnsi="Times New Roman" w:cs="Times New Roman"/>
          <w:sz w:val="20"/>
        </w:rPr>
        <w:t>строение</w:t>
      </w:r>
      <w:r w:rsidRPr="00CB3D4A">
        <w:rPr>
          <w:rFonts w:ascii="Times New Roman" w:hAnsi="Times New Roman" w:cs="Times New Roman"/>
          <w:sz w:val="20"/>
        </w:rPr>
        <w:t xml:space="preserve">  наход</w:t>
      </w:r>
      <w:r w:rsidR="00562C3E">
        <w:rPr>
          <w:rFonts w:ascii="Times New Roman" w:hAnsi="Times New Roman" w:cs="Times New Roman"/>
          <w:sz w:val="20"/>
        </w:rPr>
        <w:t>и</w:t>
      </w:r>
      <w:r w:rsidRPr="00CB3D4A">
        <w:rPr>
          <w:rFonts w:ascii="Times New Roman" w:hAnsi="Times New Roman" w:cs="Times New Roman"/>
          <w:sz w:val="20"/>
        </w:rPr>
        <w:t xml:space="preserve">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A27F94">
        <w:tc>
          <w:tcPr>
            <w:tcW w:w="4460" w:type="dxa"/>
          </w:tcPr>
          <w:p w:rsidR="008D2DE6" w:rsidRPr="00CB3D4A" w:rsidRDefault="008D2DE6" w:rsidP="00A27F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562C3E">
              <w:rPr>
                <w:sz w:val="20"/>
                <w:szCs w:val="20"/>
              </w:rPr>
              <w:t>016.02.001.1</w:t>
            </w:r>
            <w:r w:rsidR="00562C3E" w:rsidRPr="00CB3D4A">
              <w:rPr>
                <w:sz w:val="20"/>
                <w:szCs w:val="20"/>
              </w:rPr>
              <w:t xml:space="preserve">  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8D2DE6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8D2DE6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A27F9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A27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p w:rsidR="004A7ED4" w:rsidRPr="007B10DC" w:rsidRDefault="004A7ED4" w:rsidP="004A7ED4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 w:rsidR="00BA25F4">
        <w:t>4</w:t>
      </w:r>
    </w:p>
    <w:p w:rsidR="004A7ED4" w:rsidRDefault="004A7ED4" w:rsidP="004A7ED4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2718AD">
        <w:rPr>
          <w:b w:val="0"/>
          <w:szCs w:val="24"/>
        </w:rPr>
        <w:t>_</w:t>
      </w:r>
      <w:r w:rsidR="00562C3E">
        <w:rPr>
          <w:b w:val="0"/>
          <w:szCs w:val="24"/>
        </w:rPr>
        <w:t>03</w:t>
      </w:r>
      <w:r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>
        <w:rPr>
          <w:b w:val="0"/>
          <w:szCs w:val="24"/>
        </w:rPr>
        <w:t>0</w:t>
      </w:r>
      <w:r w:rsidR="00562C3E">
        <w:rPr>
          <w:b w:val="0"/>
          <w:szCs w:val="24"/>
        </w:rPr>
        <w:t>4</w:t>
      </w:r>
      <w:r w:rsidRPr="007B10DC">
        <w:rPr>
          <w:b w:val="0"/>
          <w:szCs w:val="24"/>
        </w:rPr>
        <w:t>_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>_</w:t>
      </w:r>
      <w:r w:rsidR="00562C3E">
        <w:rPr>
          <w:b w:val="0"/>
          <w:szCs w:val="24"/>
        </w:rPr>
        <w:t>224</w:t>
      </w:r>
      <w:r>
        <w:rPr>
          <w:b w:val="0"/>
          <w:szCs w:val="24"/>
        </w:rPr>
        <w:t xml:space="preserve">_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4A7ED4" w:rsidRDefault="004A7ED4" w:rsidP="004A7ED4">
      <w:pPr>
        <w:pStyle w:val="af1"/>
        <w:jc w:val="right"/>
        <w:rPr>
          <w:b w:val="0"/>
          <w:szCs w:val="24"/>
        </w:rPr>
      </w:pPr>
    </w:p>
    <w:p w:rsidR="00FE7BB2" w:rsidRPr="00D27376" w:rsidRDefault="00FE7BB2" w:rsidP="00FE7BB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FE7BB2" w:rsidRPr="00D27376" w:rsidRDefault="00FE7BB2" w:rsidP="00FE7BB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FE7BB2" w:rsidRPr="00D27376" w:rsidRDefault="00FE7BB2" w:rsidP="00FE7BB2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FE7BB2" w:rsidRPr="00D27376" w:rsidRDefault="00FE7BB2" w:rsidP="00FE7BB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FE7BB2" w:rsidRPr="00D27376" w:rsidRDefault="00FE7BB2" w:rsidP="00FE7BB2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E7BB2" w:rsidRPr="00D27376" w:rsidRDefault="00FE7BB2" w:rsidP="00FE7BB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FE7BB2" w:rsidRPr="00D27376" w:rsidRDefault="00FE7BB2" w:rsidP="00FE7BB2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FE7BB2" w:rsidRPr="00D27376" w:rsidRDefault="00FE7BB2" w:rsidP="00FE7B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E7BB2" w:rsidRPr="00D27376" w:rsidRDefault="00FE7BB2" w:rsidP="00FE7BB2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наб. Афанасия Никитина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142</w:t>
      </w:r>
      <w:r w:rsidRPr="00CB3D4A">
        <w:rPr>
          <w:rFonts w:ascii="Times New Roman" w:hAnsi="Times New Roman" w:cs="Times New Roman"/>
          <w:sz w:val="20"/>
        </w:rPr>
        <w:t xml:space="preserve">,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FE7BB2" w:rsidRPr="00CB3D4A" w:rsidRDefault="00FE7BB2" w:rsidP="00FE7BB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,  1 этаж, к. 1,2,4-10 (общий вход с помещением, где </w:t>
      </w:r>
      <w:proofErr w:type="gramStart"/>
      <w:r>
        <w:rPr>
          <w:rFonts w:ascii="Times New Roman" w:hAnsi="Times New Roman" w:cs="Times New Roman"/>
        </w:rPr>
        <w:t>расположена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элетрощитовая</w:t>
      </w:r>
      <w:proofErr w:type="spellEnd"/>
      <w:r>
        <w:rPr>
          <w:rFonts w:ascii="Times New Roman" w:hAnsi="Times New Roman" w:cs="Times New Roman"/>
        </w:rPr>
        <w:t xml:space="preserve"> жилого дома)</w:t>
      </w:r>
      <w:r w:rsidRPr="00CB3D4A">
        <w:rPr>
          <w:rFonts w:ascii="Times New Roman" w:hAnsi="Times New Roman" w:cs="Times New Roman"/>
        </w:rPr>
        <w:t>.</w:t>
      </w:r>
    </w:p>
    <w:p w:rsidR="00FE7BB2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FE7BB2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69:40:0100229:140.</w:t>
      </w:r>
    </w:p>
    <w:p w:rsidR="00FE7BB2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73,5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82481.</w:t>
      </w:r>
    </w:p>
    <w:p w:rsidR="00FE7BB2" w:rsidRPr="00CB3D4A" w:rsidRDefault="00FE7BB2" w:rsidP="00FE7BB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D27376">
        <w:rPr>
          <w:rFonts w:ascii="Times New Roman" w:hAnsi="Times New Roman"/>
        </w:rPr>
        <w:t>се</w:t>
      </w:r>
      <w:r>
        <w:rPr>
          <w:rFonts w:ascii="Times New Roman" w:hAnsi="Times New Roman"/>
        </w:rPr>
        <w:t>ти</w:t>
      </w:r>
      <w:r w:rsidRPr="00D27376">
        <w:rPr>
          <w:rFonts w:ascii="Times New Roman" w:hAnsi="Times New Roman"/>
        </w:rPr>
        <w:t xml:space="preserve"> 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>_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C4DFA">
        <w:rPr>
          <w:rFonts w:ascii="Times New Roman" w:hAnsi="Times New Roman" w:cs="Times New Roman"/>
          <w:sz w:val="20"/>
        </w:rPr>
        <w:t>1.6.</w:t>
      </w:r>
      <w:r w:rsidRPr="00CB3D4A">
        <w:rPr>
          <w:rFonts w:ascii="Times New Roman" w:hAnsi="Times New Roman" w:cs="Times New Roman"/>
          <w:sz w:val="20"/>
        </w:rPr>
        <w:t xml:space="preserve"> 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</w:t>
      </w:r>
      <w:r w:rsidRPr="00CB3D4A">
        <w:rPr>
          <w:rFonts w:ascii="Times New Roman" w:hAnsi="Times New Roman"/>
          <w:sz w:val="20"/>
        </w:rPr>
        <w:lastRenderedPageBreak/>
        <w:t xml:space="preserve">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Передача арендованного помещения третьим лицам по иным договорам (в иные виды пользования) не </w:t>
      </w:r>
      <w:r w:rsidRPr="00CB3D4A">
        <w:rPr>
          <w:rFonts w:ascii="Times New Roman" w:hAnsi="Times New Roman" w:cs="Times New Roman"/>
          <w:sz w:val="20"/>
        </w:rPr>
        <w:lastRenderedPageBreak/>
        <w:t>допускается.</w:t>
      </w:r>
    </w:p>
    <w:p w:rsidR="00FE7BB2" w:rsidRDefault="00FE7BB2" w:rsidP="00FE7B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FE7BB2" w:rsidRPr="00CB3D4A" w:rsidRDefault="00FE7BB2" w:rsidP="00FE7B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</w:t>
      </w:r>
      <w:r w:rsidRPr="00CB3D4A">
        <w:rPr>
          <w:rFonts w:ascii="Times New Roman" w:hAnsi="Times New Roman" w:cs="Times New Roman"/>
          <w:sz w:val="20"/>
        </w:rPr>
        <w:lastRenderedPageBreak/>
        <w:t>правовыми актами органов местного самоуправления города Твери и по согласованию с Арендодателем.</w:t>
      </w:r>
    </w:p>
    <w:p w:rsidR="00FE7BB2" w:rsidRPr="00CB3D4A" w:rsidRDefault="00FE7BB2" w:rsidP="00FE7B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E7BB2" w:rsidRPr="00D764EE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FE7BB2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</w:t>
      </w:r>
      <w:r w:rsidRPr="00CB3D4A">
        <w:rPr>
          <w:rFonts w:ascii="Times New Roman" w:hAnsi="Times New Roman" w:cs="Times New Roman"/>
          <w:sz w:val="20"/>
        </w:rPr>
        <w:lastRenderedPageBreak/>
        <w:t>неустойки.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 w:rsidRPr="00CB3D4A">
        <w:rPr>
          <w:rFonts w:ascii="Times New Roman" w:hAnsi="Times New Roman" w:cs="Times New Roman"/>
          <w:sz w:val="20"/>
        </w:rPr>
        <w:fldChar w:fldCharType="begin"/>
      </w:r>
      <w:r w:rsidRPr="00CB3D4A">
        <w:rPr>
          <w:rFonts w:ascii="Times New Roman" w:hAnsi="Times New Roman" w:cs="Times New Roman"/>
          <w:sz w:val="20"/>
        </w:rPr>
        <w:instrText xml:space="preserve"> HYPERLINK \l "P129" \h </w:instrText>
      </w:r>
      <w:r w:rsidRPr="00CB3D4A">
        <w:rPr>
          <w:rFonts w:ascii="Times New Roman" w:hAnsi="Times New Roman" w:cs="Times New Roman"/>
          <w:sz w:val="20"/>
        </w:rP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 w:rsidRPr="00CB3D4A"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</w:t>
      </w:r>
      <w:r w:rsidRPr="00CB3D4A">
        <w:rPr>
          <w:rFonts w:ascii="Times New Roman" w:hAnsi="Times New Roman" w:cs="Times New Roman"/>
          <w:sz w:val="20"/>
        </w:rPr>
        <w:lastRenderedPageBreak/>
        <w:t>помещения  Арендодателю по акту.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FE7BB2" w:rsidRPr="00CB3D4A" w:rsidRDefault="00FE7BB2" w:rsidP="00FE7B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FE7BB2" w:rsidRPr="004B21AF" w:rsidRDefault="00FE7BB2" w:rsidP="00FE7BB2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4B21AF">
        <w:rPr>
          <w:sz w:val="20"/>
          <w:szCs w:val="20"/>
        </w:rPr>
        <w:t>8.5.  Настоящий договор составлен в 3-х подлинных экземплярах, имеющих одинаковую юридическую силу. Экземпляры хранятся: два - у Арендодателя, один - у Арендатора.</w:t>
      </w:r>
    </w:p>
    <w:p w:rsidR="00FE7BB2" w:rsidRPr="004B21AF" w:rsidRDefault="00FE7BB2" w:rsidP="00FE7BB2">
      <w:pPr>
        <w:pStyle w:val="af5"/>
        <w:jc w:val="both"/>
        <w:rPr>
          <w:sz w:val="20"/>
          <w:szCs w:val="20"/>
        </w:rPr>
      </w:pPr>
    </w:p>
    <w:p w:rsidR="00FE7BB2" w:rsidRPr="004B21AF" w:rsidRDefault="00FE7BB2" w:rsidP="00FE7BB2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4B21AF">
        <w:rPr>
          <w:sz w:val="20"/>
          <w:szCs w:val="20"/>
        </w:rPr>
        <w:t>Приложения:</w:t>
      </w:r>
    </w:p>
    <w:p w:rsidR="00FE7BB2" w:rsidRPr="004B21AF" w:rsidRDefault="00FE7BB2" w:rsidP="00FE7BB2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B21AF">
        <w:rPr>
          <w:sz w:val="20"/>
          <w:szCs w:val="20"/>
        </w:rPr>
        <w:t xml:space="preserve">1. </w:t>
      </w:r>
      <w:hyperlink w:anchor="P336">
        <w:r w:rsidRPr="004B21AF">
          <w:rPr>
            <w:color w:val="0000FF"/>
            <w:sz w:val="20"/>
            <w:szCs w:val="20"/>
          </w:rPr>
          <w:t>Акт</w:t>
        </w:r>
      </w:hyperlink>
      <w:r w:rsidRPr="004B21AF">
        <w:rPr>
          <w:sz w:val="20"/>
          <w:szCs w:val="20"/>
        </w:rPr>
        <w:t xml:space="preserve"> приема-передачи помещения - прилагается.</w:t>
      </w:r>
    </w:p>
    <w:p w:rsidR="00FE7BB2" w:rsidRPr="004B21AF" w:rsidRDefault="00FE7BB2" w:rsidP="00FE7BB2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2. Копия экспликации технического паспорта.</w:t>
      </w:r>
    </w:p>
    <w:p w:rsidR="00FE7BB2" w:rsidRPr="004B21AF" w:rsidRDefault="00FE7BB2" w:rsidP="00FE7BB2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FE7BB2" w:rsidRPr="004B21AF" w:rsidRDefault="00FE7BB2" w:rsidP="00FE7BB2">
      <w:pPr>
        <w:pStyle w:val="af5"/>
        <w:jc w:val="both"/>
        <w:rPr>
          <w:sz w:val="20"/>
          <w:szCs w:val="20"/>
        </w:rPr>
      </w:pP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E7BB2" w:rsidRPr="00CB3D4A" w:rsidTr="000B3A06">
        <w:tc>
          <w:tcPr>
            <w:tcW w:w="4460" w:type="dxa"/>
          </w:tcPr>
          <w:p w:rsidR="00FE7BB2" w:rsidRPr="00CB3D4A" w:rsidRDefault="00FE7BB2" w:rsidP="000B3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E7BB2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 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E7BB2" w:rsidRPr="00CB3D4A" w:rsidRDefault="00FE7BB2" w:rsidP="000B3A0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E7BB2" w:rsidRPr="00CB3D4A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Default="00FE7BB2" w:rsidP="00FE7BB2">
      <w:pPr>
        <w:jc w:val="both"/>
        <w:rPr>
          <w:sz w:val="20"/>
          <w:szCs w:val="20"/>
        </w:rPr>
      </w:pPr>
    </w:p>
    <w:p w:rsidR="00FE7BB2" w:rsidRPr="00CB3D4A" w:rsidRDefault="00FE7BB2" w:rsidP="00FE7BB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наб. Афанасия Никитина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142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 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, 1 этаж, к. 1, 2, 4-10.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  <w:sz w:val="20"/>
        </w:rPr>
        <w:t>69:40:0100229:140.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73,5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82481</w:t>
      </w:r>
      <w:r w:rsidRPr="00CB3D4A">
        <w:rPr>
          <w:rFonts w:ascii="Times New Roman" w:hAnsi="Times New Roman" w:cs="Times New Roman"/>
          <w:sz w:val="20"/>
        </w:rPr>
        <w:t>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FE7BB2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FE7BB2" w:rsidRPr="00CB3D4A" w:rsidRDefault="00FE7BB2" w:rsidP="00FE7BB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FE7BB2" w:rsidRPr="00CB3D4A" w:rsidRDefault="00FE7BB2" w:rsidP="00FE7BB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E7BB2" w:rsidRPr="00CB3D4A" w:rsidTr="000B3A06">
        <w:tc>
          <w:tcPr>
            <w:tcW w:w="4460" w:type="dxa"/>
          </w:tcPr>
          <w:p w:rsidR="00FE7BB2" w:rsidRPr="00CB3D4A" w:rsidRDefault="00FE7BB2" w:rsidP="000B3A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    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E7BB2" w:rsidRPr="00CB3D4A" w:rsidRDefault="00FE7BB2" w:rsidP="000B3A0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7BB2" w:rsidRPr="00CB3D4A" w:rsidRDefault="00FE7BB2" w:rsidP="000B3A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E7BB2" w:rsidRPr="00CB3D4A" w:rsidRDefault="00FE7BB2" w:rsidP="00FE7BB2">
      <w:pPr>
        <w:jc w:val="both"/>
        <w:rPr>
          <w:sz w:val="20"/>
          <w:szCs w:val="20"/>
        </w:rPr>
      </w:pPr>
    </w:p>
    <w:p w:rsidR="00FE7BB2" w:rsidRPr="00CB3D4A" w:rsidRDefault="00FE7BB2" w:rsidP="00FE7BB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E7BB2" w:rsidRDefault="00FE7BB2" w:rsidP="00FE7BB2">
      <w:pPr>
        <w:autoSpaceDE w:val="0"/>
        <w:autoSpaceDN w:val="0"/>
        <w:adjustRightInd w:val="0"/>
        <w:jc w:val="center"/>
        <w:rPr>
          <w:b/>
        </w:rPr>
      </w:pPr>
    </w:p>
    <w:p w:rsidR="00F24B5E" w:rsidRDefault="00F24B5E" w:rsidP="00FE7BB2">
      <w:pPr>
        <w:autoSpaceDE w:val="0"/>
        <w:autoSpaceDN w:val="0"/>
        <w:adjustRightInd w:val="0"/>
        <w:jc w:val="center"/>
        <w:rPr>
          <w:sz w:val="20"/>
          <w:lang w:val="en-US"/>
        </w:rPr>
      </w:pPr>
    </w:p>
    <w:sectPr w:rsidR="00F24B5E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1D" w:rsidRDefault="0085571D">
      <w:r>
        <w:separator/>
      </w:r>
    </w:p>
  </w:endnote>
  <w:endnote w:type="continuationSeparator" w:id="0">
    <w:p w:rsidR="0085571D" w:rsidRDefault="0085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1D" w:rsidRDefault="0085571D">
      <w:r>
        <w:separator/>
      </w:r>
    </w:p>
  </w:footnote>
  <w:footnote w:type="continuationSeparator" w:id="0">
    <w:p w:rsidR="0085571D" w:rsidRDefault="00855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AA5" w:rsidRDefault="004B7AA5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B7AA5" w:rsidRDefault="004B7A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AA5" w:rsidRDefault="004B7AA5">
    <w:pPr>
      <w:pStyle w:val="a5"/>
    </w:pPr>
  </w:p>
  <w:p w:rsidR="004B7AA5" w:rsidRDefault="004B7A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B7B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672C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0C1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132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B7AA5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C3E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21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902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71D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193C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27F94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2E1A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0A5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420C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4FB2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6E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5CC1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38F9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432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BB2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034A-1AA1-4AD5-BD80-9104E9BE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21897</TotalTime>
  <Pages>15</Pages>
  <Words>8532</Words>
  <Characters>48635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57053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2035</cp:revision>
  <cp:lastPrinted>2025-03-31T07:37:00Z</cp:lastPrinted>
  <dcterms:created xsi:type="dcterms:W3CDTF">2012-08-13T08:40:00Z</dcterms:created>
  <dcterms:modified xsi:type="dcterms:W3CDTF">2025-04-03T07:46:00Z</dcterms:modified>
</cp:coreProperties>
</file>